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2657A144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del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>Proceso</w:t>
      </w:r>
      <w:r w:rsidR="00CC5630"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B85F81">
        <w:rPr>
          <w:rFonts w:asciiTheme="minorHAnsi" w:hAnsiTheme="minorHAnsi" w:cstheme="minorHAnsi"/>
          <w:b/>
          <w:bCs/>
          <w:sz w:val="28"/>
          <w:lang w:eastAsia="en-US"/>
        </w:rPr>
        <w:t>Comité de Planeación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27E7E9D8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312BF75F" w14:textId="547FCE42" w:rsidR="00E32EB3" w:rsidRPr="002A3E06" w:rsidRDefault="00CC5630" w:rsidP="002A3E0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 xml:space="preserve">Establecer los lineamientos necesarios para el funcionamiento del Comité de Planeación, con la finalidad de tener </w:t>
            </w:r>
            <w:r w:rsidR="007B2FA0">
              <w:rPr>
                <w:sz w:val="18"/>
              </w:rPr>
              <w:t xml:space="preserve">la contundencia </w:t>
            </w:r>
            <w:r>
              <w:rPr>
                <w:sz w:val="18"/>
              </w:rPr>
              <w:t>para la toma de decisiones relacionadas con la buena marcha de la Unidad</w:t>
            </w:r>
            <w:r w:rsidR="007B2FA0">
              <w:rPr>
                <w:sz w:val="18"/>
              </w:rPr>
              <w:t xml:space="preserve"> 099 CDMX, Poniente</w:t>
            </w:r>
            <w:r>
              <w:rPr>
                <w:sz w:val="18"/>
              </w:rPr>
              <w:t>.</w:t>
            </w:r>
          </w:p>
          <w:p w14:paraId="6ECC1FAC" w14:textId="3101E7F2" w:rsidR="002A3E06" w:rsidRPr="002A3E06" w:rsidRDefault="002A3E06" w:rsidP="009233BB">
            <w:pPr>
              <w:pStyle w:val="Prrafodelista"/>
              <w:rPr>
                <w:sz w:val="18"/>
              </w:rPr>
            </w:pPr>
          </w:p>
        </w:tc>
      </w:tr>
      <w:tr w:rsidR="00E32EB3" w14:paraId="74B7DCF6" w14:textId="77777777" w:rsidTr="00DC6C57">
        <w:trPr>
          <w:gridAfter w:val="1"/>
          <w:wAfter w:w="6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14:paraId="50FA9A81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3413F5">
        <w:trPr>
          <w:gridAfter w:val="1"/>
          <w:wAfter w:w="6" w:type="dxa"/>
          <w:trHeight w:val="2359"/>
        </w:trPr>
        <w:tc>
          <w:tcPr>
            <w:tcW w:w="453" w:type="dxa"/>
          </w:tcPr>
          <w:p w14:paraId="4CA4BDA8" w14:textId="77777777" w:rsidR="00E32EB3" w:rsidRPr="000824D5" w:rsidRDefault="00E32EB3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1.</w:t>
            </w:r>
          </w:p>
        </w:tc>
        <w:tc>
          <w:tcPr>
            <w:tcW w:w="1551" w:type="dxa"/>
          </w:tcPr>
          <w:p w14:paraId="01CF6B37" w14:textId="228C8B4F" w:rsidR="00E32EB3" w:rsidRPr="000824D5" w:rsidRDefault="00E667D3" w:rsidP="000D3745">
            <w:pPr>
              <w:rPr>
                <w:sz w:val="14"/>
              </w:rPr>
            </w:pPr>
            <w:r w:rsidRPr="000824D5">
              <w:rPr>
                <w:sz w:val="16"/>
              </w:rPr>
              <w:t>S</w:t>
            </w:r>
            <w:r w:rsidR="000B57C0" w:rsidRPr="000824D5">
              <w:rPr>
                <w:sz w:val="16"/>
              </w:rPr>
              <w:t>atisfacer</w:t>
            </w:r>
            <w:r w:rsidRPr="000824D5">
              <w:rPr>
                <w:sz w:val="16"/>
              </w:rPr>
              <w:t xml:space="preserve"> plenamente</w:t>
            </w:r>
            <w:r w:rsidR="000B57C0" w:rsidRPr="000824D5">
              <w:rPr>
                <w:sz w:val="16"/>
              </w:rPr>
              <w:t xml:space="preserve"> los requisitos de</w:t>
            </w:r>
            <w:r w:rsidRPr="000824D5">
              <w:rPr>
                <w:sz w:val="16"/>
              </w:rPr>
              <w:t xml:space="preserve"> formación profesional </w:t>
            </w:r>
            <w:r w:rsidR="000824D5" w:rsidRPr="000824D5">
              <w:rPr>
                <w:sz w:val="16"/>
              </w:rPr>
              <w:t>cuyo sustento se establece dentro de los principios de honestidad, eticidad, liderazgo, solidaridad.</w:t>
            </w:r>
          </w:p>
        </w:tc>
        <w:tc>
          <w:tcPr>
            <w:tcW w:w="1237" w:type="dxa"/>
          </w:tcPr>
          <w:p w14:paraId="51E66FD6" w14:textId="2E6650A1" w:rsidR="000824D5" w:rsidRPr="000824D5" w:rsidRDefault="000824D5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Alta Dirección</w:t>
            </w:r>
          </w:p>
          <w:p w14:paraId="262FEFBB" w14:textId="77777777" w:rsidR="000824D5" w:rsidRPr="000824D5" w:rsidRDefault="000824D5" w:rsidP="000308A8">
            <w:pPr>
              <w:rPr>
                <w:sz w:val="14"/>
              </w:rPr>
            </w:pPr>
          </w:p>
          <w:p w14:paraId="46AE1F66" w14:textId="5FC4A77B" w:rsidR="009233BB" w:rsidRPr="000824D5" w:rsidRDefault="009233BB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Académicos</w:t>
            </w:r>
            <w:r w:rsidR="000824D5" w:rsidRPr="000824D5">
              <w:rPr>
                <w:sz w:val="14"/>
              </w:rPr>
              <w:t xml:space="preserve"> de Tiempo Completo</w:t>
            </w:r>
          </w:p>
          <w:p w14:paraId="4CB10383" w14:textId="77777777" w:rsidR="009233BB" w:rsidRPr="000824D5" w:rsidRDefault="009233BB" w:rsidP="000308A8">
            <w:pPr>
              <w:rPr>
                <w:sz w:val="14"/>
              </w:rPr>
            </w:pPr>
          </w:p>
          <w:p w14:paraId="65F9B3EE" w14:textId="77777777" w:rsidR="00D4116A" w:rsidRPr="000824D5" w:rsidRDefault="00D4116A" w:rsidP="000824D5">
            <w:pPr>
              <w:rPr>
                <w:sz w:val="14"/>
              </w:rPr>
            </w:pPr>
            <w:r w:rsidRPr="000824D5">
              <w:rPr>
                <w:sz w:val="14"/>
              </w:rPr>
              <w:t>Responsable</w:t>
            </w:r>
            <w:r w:rsidR="000824D5" w:rsidRPr="000824D5">
              <w:rPr>
                <w:sz w:val="14"/>
              </w:rPr>
              <w:t>s</w:t>
            </w:r>
            <w:r w:rsidRPr="000824D5">
              <w:rPr>
                <w:sz w:val="14"/>
              </w:rPr>
              <w:t xml:space="preserve"> de </w:t>
            </w:r>
            <w:r w:rsidR="000824D5" w:rsidRPr="000824D5">
              <w:rPr>
                <w:sz w:val="14"/>
              </w:rPr>
              <w:t>Programa</w:t>
            </w:r>
          </w:p>
          <w:p w14:paraId="283CA6DC" w14:textId="77777777" w:rsidR="000824D5" w:rsidRPr="000824D5" w:rsidRDefault="000824D5" w:rsidP="000824D5">
            <w:pPr>
              <w:rPr>
                <w:sz w:val="14"/>
              </w:rPr>
            </w:pPr>
          </w:p>
          <w:p w14:paraId="031DB1C0" w14:textId="60A796DD" w:rsidR="000824D5" w:rsidRPr="000824D5" w:rsidRDefault="000824D5" w:rsidP="000824D5">
            <w:pPr>
              <w:rPr>
                <w:sz w:val="14"/>
              </w:rPr>
            </w:pPr>
            <w:r w:rsidRPr="000824D5">
              <w:rPr>
                <w:sz w:val="14"/>
              </w:rPr>
              <w:t>Coordinación Administrativa</w:t>
            </w:r>
          </w:p>
        </w:tc>
        <w:tc>
          <w:tcPr>
            <w:tcW w:w="1154" w:type="dxa"/>
          </w:tcPr>
          <w:p w14:paraId="2538C494" w14:textId="656B114E" w:rsidR="00E32EB3" w:rsidRPr="000824D5" w:rsidRDefault="000824D5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Establecer</w:t>
            </w:r>
            <w:bookmarkStart w:id="0" w:name="_GoBack"/>
            <w:bookmarkEnd w:id="0"/>
          </w:p>
        </w:tc>
        <w:tc>
          <w:tcPr>
            <w:tcW w:w="1165" w:type="dxa"/>
          </w:tcPr>
          <w:p w14:paraId="5C4DF45D" w14:textId="3518034A" w:rsidR="008A1AC8" w:rsidRPr="000D3745" w:rsidRDefault="000824D5" w:rsidP="000824D5">
            <w:pPr>
              <w:rPr>
                <w:sz w:val="14"/>
              </w:rPr>
            </w:pPr>
            <w:r w:rsidRPr="000D3745">
              <w:rPr>
                <w:sz w:val="14"/>
              </w:rPr>
              <w:t>Planear todas las acciones de trabajo inherentes</w:t>
            </w:r>
            <w:r w:rsidR="000D3745" w:rsidRPr="000D3745">
              <w:rPr>
                <w:sz w:val="14"/>
              </w:rPr>
              <w:t xml:space="preserve"> al funcionamiento de la Unidad UPN 099 CDMX, Poniente.</w:t>
            </w:r>
          </w:p>
        </w:tc>
        <w:tc>
          <w:tcPr>
            <w:tcW w:w="1806" w:type="dxa"/>
          </w:tcPr>
          <w:p w14:paraId="35A47F02" w14:textId="44CB9F13" w:rsidR="00E32EB3" w:rsidRPr="000D3745" w:rsidRDefault="009233BB" w:rsidP="00EC3C4A">
            <w:pPr>
              <w:rPr>
                <w:sz w:val="14"/>
              </w:rPr>
            </w:pPr>
            <w:r w:rsidRPr="000D3745">
              <w:rPr>
                <w:sz w:val="14"/>
              </w:rPr>
              <w:t xml:space="preserve">Reuniones </w:t>
            </w:r>
            <w:r w:rsidR="000D3745" w:rsidRPr="000D3745">
              <w:rPr>
                <w:sz w:val="14"/>
              </w:rPr>
              <w:t>programadas del Comité de Planeación</w:t>
            </w:r>
          </w:p>
          <w:p w14:paraId="02A946CC" w14:textId="77777777" w:rsidR="008A1AC8" w:rsidRPr="000D3745" w:rsidRDefault="008A1AC8" w:rsidP="00EC3C4A">
            <w:pPr>
              <w:rPr>
                <w:sz w:val="14"/>
              </w:rPr>
            </w:pPr>
          </w:p>
          <w:p w14:paraId="330DB622" w14:textId="64DD5080" w:rsidR="0099662C" w:rsidRPr="000D3745" w:rsidRDefault="0099662C" w:rsidP="00EC3C4A">
            <w:pPr>
              <w:rPr>
                <w:sz w:val="14"/>
              </w:rPr>
            </w:pPr>
          </w:p>
          <w:p w14:paraId="088E3A4F" w14:textId="1A126C41" w:rsidR="008A1AC8" w:rsidRPr="000D3745" w:rsidRDefault="008A1AC8" w:rsidP="00EC3C4A">
            <w:pPr>
              <w:rPr>
                <w:sz w:val="14"/>
              </w:rPr>
            </w:pPr>
          </w:p>
        </w:tc>
        <w:tc>
          <w:tcPr>
            <w:tcW w:w="1276" w:type="dxa"/>
          </w:tcPr>
          <w:p w14:paraId="746E9BA7" w14:textId="66CF5A00" w:rsidR="000D3745" w:rsidRPr="000D3745" w:rsidRDefault="000D3745" w:rsidP="000D3745">
            <w:pPr>
              <w:rPr>
                <w:sz w:val="14"/>
              </w:rPr>
            </w:pPr>
            <w:r>
              <w:rPr>
                <w:sz w:val="14"/>
              </w:rPr>
              <w:t>Acuerdos tomados.</w:t>
            </w:r>
          </w:p>
          <w:p w14:paraId="1602BB81" w14:textId="77777777" w:rsidR="0099662C" w:rsidRPr="000D3745" w:rsidRDefault="0099662C" w:rsidP="00BA59BA">
            <w:pPr>
              <w:rPr>
                <w:sz w:val="14"/>
              </w:rPr>
            </w:pPr>
          </w:p>
          <w:p w14:paraId="78BFB948" w14:textId="6D1214E7" w:rsidR="00931116" w:rsidRPr="000D3745" w:rsidRDefault="00931116" w:rsidP="00BA59BA">
            <w:pPr>
              <w:rPr>
                <w:sz w:val="16"/>
              </w:rPr>
            </w:pPr>
          </w:p>
        </w:tc>
        <w:tc>
          <w:tcPr>
            <w:tcW w:w="997" w:type="dxa"/>
          </w:tcPr>
          <w:p w14:paraId="6E33F594" w14:textId="6C30B3DD" w:rsidR="009233BB" w:rsidRPr="000D3745" w:rsidRDefault="000D3745" w:rsidP="000308A8">
            <w:pPr>
              <w:rPr>
                <w:sz w:val="14"/>
              </w:rPr>
            </w:pPr>
            <w:r w:rsidRPr="000D3745">
              <w:rPr>
                <w:sz w:val="14"/>
              </w:rPr>
              <w:t>Mensual</w:t>
            </w:r>
          </w:p>
        </w:tc>
        <w:tc>
          <w:tcPr>
            <w:tcW w:w="1418" w:type="dxa"/>
          </w:tcPr>
          <w:p w14:paraId="5A611F15" w14:textId="40D0E25C" w:rsidR="00E97B95" w:rsidRPr="000D3745" w:rsidRDefault="007D6FB7" w:rsidP="000308A8">
            <w:pPr>
              <w:rPr>
                <w:sz w:val="14"/>
              </w:rPr>
            </w:pPr>
            <w:r w:rsidRPr="000D3745">
              <w:rPr>
                <w:sz w:val="14"/>
              </w:rPr>
              <w:t xml:space="preserve">Minuta de reuniones </w:t>
            </w:r>
            <w:r w:rsidR="000D3745" w:rsidRPr="000D3745">
              <w:rPr>
                <w:sz w:val="14"/>
              </w:rPr>
              <w:t>del Comité de Planeación.</w:t>
            </w:r>
          </w:p>
          <w:p w14:paraId="5AF24D42" w14:textId="77777777" w:rsidR="00931116" w:rsidRPr="000D3745" w:rsidRDefault="00931116" w:rsidP="000308A8">
            <w:pPr>
              <w:rPr>
                <w:sz w:val="14"/>
              </w:rPr>
            </w:pPr>
          </w:p>
          <w:p w14:paraId="607514C7" w14:textId="237110F6" w:rsidR="00931116" w:rsidRPr="000D3745" w:rsidRDefault="00931116" w:rsidP="000D3745">
            <w:pPr>
              <w:rPr>
                <w:sz w:val="14"/>
              </w:rPr>
            </w:pPr>
          </w:p>
        </w:tc>
        <w:tc>
          <w:tcPr>
            <w:tcW w:w="1222" w:type="dxa"/>
          </w:tcPr>
          <w:p w14:paraId="06AB0DBC" w14:textId="77777777" w:rsidR="00C251BB" w:rsidRPr="000D3745" w:rsidRDefault="00C251BB" w:rsidP="000308A8">
            <w:pPr>
              <w:rPr>
                <w:sz w:val="14"/>
              </w:rPr>
            </w:pPr>
          </w:p>
          <w:p w14:paraId="6B3A86F0" w14:textId="77777777" w:rsidR="00C251BB" w:rsidRPr="000D3745" w:rsidRDefault="00C251BB" w:rsidP="000308A8">
            <w:pPr>
              <w:rPr>
                <w:sz w:val="14"/>
              </w:rPr>
            </w:pPr>
          </w:p>
          <w:p w14:paraId="3F579462" w14:textId="77777777" w:rsidR="00C251BB" w:rsidRPr="000D3745" w:rsidRDefault="00C251BB" w:rsidP="000308A8">
            <w:pPr>
              <w:rPr>
                <w:sz w:val="14"/>
              </w:rPr>
            </w:pPr>
          </w:p>
          <w:p w14:paraId="1DE43C5C" w14:textId="77777777" w:rsidR="00C251BB" w:rsidRPr="000D3745" w:rsidRDefault="00C251BB" w:rsidP="000308A8">
            <w:pPr>
              <w:rPr>
                <w:sz w:val="14"/>
              </w:rPr>
            </w:pPr>
          </w:p>
          <w:p w14:paraId="57EC5735" w14:textId="77777777" w:rsidR="00C251BB" w:rsidRPr="000D3745" w:rsidRDefault="00C251BB" w:rsidP="000308A8">
            <w:pPr>
              <w:rPr>
                <w:sz w:val="14"/>
              </w:rPr>
            </w:pPr>
          </w:p>
          <w:p w14:paraId="20DA7887" w14:textId="7A081085" w:rsidR="00E32EB3" w:rsidRPr="000D3745" w:rsidRDefault="000D3745" w:rsidP="000308A8">
            <w:pPr>
              <w:rPr>
                <w:sz w:val="14"/>
              </w:rPr>
            </w:pPr>
            <w:r w:rsidRPr="000D3745">
              <w:rPr>
                <w:sz w:val="14"/>
              </w:rPr>
              <w:t>60</w:t>
            </w:r>
            <w:r w:rsidR="00434B11" w:rsidRPr="000D3745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1E8653C6" w:rsidR="00C251BB" w:rsidRPr="000D3745" w:rsidRDefault="000D3745" w:rsidP="00BC3756">
            <w:pPr>
              <w:rPr>
                <w:sz w:val="14"/>
              </w:rPr>
            </w:pPr>
            <w:r>
              <w:rPr>
                <w:sz w:val="14"/>
              </w:rPr>
              <w:t>Bajo el consenso se toman decisiones para la buena marcha de la unidad.</w:t>
            </w:r>
          </w:p>
        </w:tc>
        <w:tc>
          <w:tcPr>
            <w:tcW w:w="769" w:type="dxa"/>
          </w:tcPr>
          <w:p w14:paraId="3F472503" w14:textId="7C935B23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8E43CB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7D3A02" w14:paraId="32829E30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3615E0AE" w14:textId="77777777" w:rsidR="007D3A02" w:rsidRPr="00D33991" w:rsidRDefault="007D3A02" w:rsidP="007D3A02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BDD256" w14:textId="08C69EDE" w:rsidR="00602158" w:rsidRDefault="00602158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Revisión por la Alta Dirección</w:t>
            </w:r>
          </w:p>
          <w:p w14:paraId="7C2D260E" w14:textId="6A880F3F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7D6BFAD4" w14:textId="1201D93F" w:rsidR="007D3A02" w:rsidRPr="00602158" w:rsidRDefault="007D3A02" w:rsidP="00602158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0C78C9"/>
    <w:multiLevelType w:val="hybridMultilevel"/>
    <w:tmpl w:val="21FE8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3"/>
    <w:rsid w:val="000215B2"/>
    <w:rsid w:val="00023DD1"/>
    <w:rsid w:val="00071786"/>
    <w:rsid w:val="000824D5"/>
    <w:rsid w:val="000B57C0"/>
    <w:rsid w:val="000C00A3"/>
    <w:rsid w:val="000D3745"/>
    <w:rsid w:val="000D7FD0"/>
    <w:rsid w:val="001739CB"/>
    <w:rsid w:val="00192660"/>
    <w:rsid w:val="00194ED1"/>
    <w:rsid w:val="001E3CB9"/>
    <w:rsid w:val="001E5674"/>
    <w:rsid w:val="0021209C"/>
    <w:rsid w:val="002A3E06"/>
    <w:rsid w:val="002B70E9"/>
    <w:rsid w:val="00315E1F"/>
    <w:rsid w:val="003413F5"/>
    <w:rsid w:val="00343B46"/>
    <w:rsid w:val="003A4791"/>
    <w:rsid w:val="003B559B"/>
    <w:rsid w:val="003D0011"/>
    <w:rsid w:val="003D26ED"/>
    <w:rsid w:val="003F4877"/>
    <w:rsid w:val="00434B11"/>
    <w:rsid w:val="004C7717"/>
    <w:rsid w:val="00602158"/>
    <w:rsid w:val="006D7623"/>
    <w:rsid w:val="007017C7"/>
    <w:rsid w:val="00787424"/>
    <w:rsid w:val="007A5D3C"/>
    <w:rsid w:val="007B2FA0"/>
    <w:rsid w:val="007D3A02"/>
    <w:rsid w:val="007D6FB7"/>
    <w:rsid w:val="0084128F"/>
    <w:rsid w:val="00855CD5"/>
    <w:rsid w:val="008A1AC8"/>
    <w:rsid w:val="008A636C"/>
    <w:rsid w:val="008C15FF"/>
    <w:rsid w:val="008C2A70"/>
    <w:rsid w:val="008E43CB"/>
    <w:rsid w:val="009233BB"/>
    <w:rsid w:val="00931116"/>
    <w:rsid w:val="009741E8"/>
    <w:rsid w:val="0099662C"/>
    <w:rsid w:val="00A11334"/>
    <w:rsid w:val="00A24096"/>
    <w:rsid w:val="00A45A7A"/>
    <w:rsid w:val="00AA72C2"/>
    <w:rsid w:val="00AF4C2E"/>
    <w:rsid w:val="00B37CD0"/>
    <w:rsid w:val="00B72241"/>
    <w:rsid w:val="00B85F81"/>
    <w:rsid w:val="00BA59BA"/>
    <w:rsid w:val="00BC3756"/>
    <w:rsid w:val="00BE1337"/>
    <w:rsid w:val="00C251BB"/>
    <w:rsid w:val="00C70962"/>
    <w:rsid w:val="00CB3565"/>
    <w:rsid w:val="00CC5630"/>
    <w:rsid w:val="00D401D2"/>
    <w:rsid w:val="00D4116A"/>
    <w:rsid w:val="00D73F78"/>
    <w:rsid w:val="00DC6C57"/>
    <w:rsid w:val="00E0172E"/>
    <w:rsid w:val="00E32EB3"/>
    <w:rsid w:val="00E667D3"/>
    <w:rsid w:val="00E90E5E"/>
    <w:rsid w:val="00E97B95"/>
    <w:rsid w:val="00EB3BCE"/>
    <w:rsid w:val="00EC3C4A"/>
    <w:rsid w:val="00F13BA1"/>
    <w:rsid w:val="00F61469"/>
    <w:rsid w:val="00FA6A18"/>
    <w:rsid w:val="00FD5C1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6</cp:revision>
  <cp:lastPrinted>2019-06-06T22:26:00Z</cp:lastPrinted>
  <dcterms:created xsi:type="dcterms:W3CDTF">2019-06-21T01:40:00Z</dcterms:created>
  <dcterms:modified xsi:type="dcterms:W3CDTF">2019-06-28T01:24:00Z</dcterms:modified>
</cp:coreProperties>
</file>