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8F" w:rsidRDefault="00610E1B"/>
    <w:p w:rsidR="00AC393C" w:rsidRDefault="00AC393C">
      <w:bookmarkStart w:id="0" w:name="_GoBack"/>
      <w:bookmarkEnd w:id="0"/>
    </w:p>
    <w:p w:rsidR="00AC393C" w:rsidRDefault="00AC393C"/>
    <w:p w:rsidR="00AC393C" w:rsidRDefault="00AC393C"/>
    <w:p w:rsidR="00AC393C" w:rsidRDefault="00AC393C" w:rsidP="00AC393C">
      <w:pPr>
        <w:jc w:val="center"/>
        <w:rPr>
          <w:rFonts w:ascii="Arial" w:eastAsia="Times New Roman" w:hAnsi="Arial" w:cs="Arial"/>
          <w:sz w:val="72"/>
          <w:szCs w:val="72"/>
          <w:lang w:eastAsia="es-ES"/>
        </w:rPr>
      </w:pPr>
      <w:r w:rsidRPr="00AC393C">
        <w:rPr>
          <w:rFonts w:ascii="Arial" w:eastAsia="Times New Roman" w:hAnsi="Arial" w:cs="Arial"/>
          <w:sz w:val="72"/>
          <w:szCs w:val="72"/>
          <w:lang w:eastAsia="es-ES"/>
        </w:rPr>
        <w:t>Gestión para la Titulación y Liberación del Servicio Social</w:t>
      </w: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1940EA" w:rsidRPr="009E0978" w:rsidTr="00741548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40EA" w:rsidRPr="009E0978" w:rsidRDefault="001940EA" w:rsidP="00741548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1940EA" w:rsidRPr="009E0978" w:rsidTr="00741548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EA" w:rsidRPr="009E0978" w:rsidRDefault="001940EA" w:rsidP="00741548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EA" w:rsidRPr="009E0978" w:rsidRDefault="001940EA" w:rsidP="00741548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EA" w:rsidRPr="009E0978" w:rsidRDefault="001940EA" w:rsidP="00741548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1940EA" w:rsidRPr="009E0978" w:rsidTr="00741548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0EA" w:rsidRPr="009E0978" w:rsidRDefault="001940EA" w:rsidP="0074154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Lic. Fernando Alanís D.</w:t>
            </w:r>
          </w:p>
          <w:p w:rsidR="001940EA" w:rsidRPr="009E0978" w:rsidRDefault="001940EA" w:rsidP="0074154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Responsable del Proceso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0EA" w:rsidRDefault="001940EA" w:rsidP="0074154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A. Aguilar Ibarra</w:t>
            </w:r>
          </w:p>
          <w:p w:rsidR="001940EA" w:rsidRPr="001940EA" w:rsidRDefault="001940EA" w:rsidP="0074154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1940EA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Representante de la</w:t>
            </w:r>
          </w:p>
          <w:p w:rsidR="001940EA" w:rsidRPr="009E0978" w:rsidRDefault="001940EA" w:rsidP="0074154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1940EA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0EA" w:rsidRPr="009E0978" w:rsidRDefault="001940EA" w:rsidP="0074154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1940EA" w:rsidRPr="009E0978" w:rsidRDefault="001940EA" w:rsidP="00741548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1940EA" w:rsidRPr="009E0978" w:rsidTr="00741548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EA" w:rsidRPr="009E0978" w:rsidRDefault="001940EA" w:rsidP="00741548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EA" w:rsidRPr="009E0978" w:rsidRDefault="001940EA" w:rsidP="00741548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0EA" w:rsidRPr="009E0978" w:rsidRDefault="001940EA" w:rsidP="00741548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1940EA" w:rsidRDefault="001940EA" w:rsidP="00AC393C">
      <w:pPr>
        <w:jc w:val="center"/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Pr="001940EA" w:rsidRDefault="001940EA" w:rsidP="001940EA">
      <w:pPr>
        <w:rPr>
          <w:sz w:val="24"/>
          <w:szCs w:val="72"/>
        </w:rPr>
      </w:pPr>
    </w:p>
    <w:p w:rsidR="001940EA" w:rsidRDefault="001940EA" w:rsidP="001940EA">
      <w:pPr>
        <w:rPr>
          <w:sz w:val="24"/>
          <w:szCs w:val="72"/>
        </w:rPr>
      </w:pPr>
    </w:p>
    <w:p w:rsidR="00AC393C" w:rsidRDefault="00AC393C" w:rsidP="001940EA">
      <w:pPr>
        <w:ind w:firstLine="708"/>
        <w:rPr>
          <w:sz w:val="24"/>
          <w:szCs w:val="72"/>
        </w:rPr>
      </w:pPr>
    </w:p>
    <w:p w:rsidR="001940EA" w:rsidRDefault="001940EA" w:rsidP="001940EA">
      <w:pPr>
        <w:ind w:firstLine="708"/>
        <w:rPr>
          <w:sz w:val="24"/>
          <w:szCs w:val="72"/>
        </w:rPr>
      </w:pPr>
    </w:p>
    <w:p w:rsidR="001940EA" w:rsidRDefault="001940EA" w:rsidP="001940EA">
      <w:pPr>
        <w:ind w:firstLine="708"/>
        <w:jc w:val="center"/>
        <w:rPr>
          <w:rFonts w:ascii="Arial" w:hAnsi="Arial" w:cs="Arial"/>
          <w:b/>
          <w:sz w:val="32"/>
        </w:rPr>
      </w:pPr>
    </w:p>
    <w:p w:rsidR="001940EA" w:rsidRDefault="001940EA" w:rsidP="001940EA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t>Contenido</w:t>
      </w:r>
    </w:p>
    <w:p w:rsidR="001940EA" w:rsidRDefault="001940EA" w:rsidP="001940EA">
      <w:pPr>
        <w:ind w:firstLine="708"/>
        <w:jc w:val="center"/>
        <w:rPr>
          <w:rFonts w:ascii="Arial" w:hAnsi="Arial" w:cs="Arial"/>
          <w:b/>
          <w:sz w:val="3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940EA" w:rsidRPr="009E0978" w:rsidTr="00741548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EA" w:rsidRDefault="001940EA" w:rsidP="00741548">
            <w:pPr>
              <w:jc w:val="center"/>
              <w:rPr>
                <w:rFonts w:ascii="Arial" w:hAnsi="Arial" w:cs="Arial"/>
              </w:rPr>
            </w:pPr>
          </w:p>
          <w:p w:rsidR="001940EA" w:rsidRPr="009E0978" w:rsidRDefault="001940EA" w:rsidP="007415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1940EA" w:rsidRPr="009E0978" w:rsidTr="00741548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EA" w:rsidRPr="009E0978" w:rsidRDefault="001940EA" w:rsidP="00741548">
            <w:pPr>
              <w:rPr>
                <w:rFonts w:ascii="Arial" w:hAnsi="Arial" w:cs="Arial"/>
                <w:color w:val="FF0000"/>
              </w:rPr>
            </w:pPr>
          </w:p>
          <w:p w:rsidR="001940EA" w:rsidRDefault="001940EA" w:rsidP="00741548">
            <w:pPr>
              <w:ind w:left="928"/>
              <w:jc w:val="both"/>
              <w:rPr>
                <w:rFonts w:ascii="Arial" w:hAnsi="Arial" w:cs="Arial"/>
              </w:rPr>
            </w:pPr>
          </w:p>
          <w:p w:rsidR="001940EA" w:rsidRPr="000A01D3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Objetivos</w:t>
            </w:r>
          </w:p>
          <w:p w:rsidR="001940EA" w:rsidRPr="000A01D3" w:rsidRDefault="001940EA" w:rsidP="00741548">
            <w:pPr>
              <w:ind w:left="928"/>
              <w:jc w:val="both"/>
              <w:rPr>
                <w:rFonts w:ascii="Arial" w:hAnsi="Arial" w:cs="Arial"/>
              </w:rPr>
            </w:pPr>
          </w:p>
          <w:p w:rsidR="001940EA" w:rsidRPr="000A01D3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Análisis de riesgos  y oportunidades</w:t>
            </w:r>
            <w:r>
              <w:rPr>
                <w:rFonts w:ascii="Arial" w:hAnsi="Arial" w:cs="Arial"/>
              </w:rPr>
              <w:t xml:space="preserve"> de mejora</w:t>
            </w:r>
          </w:p>
          <w:p w:rsidR="001940EA" w:rsidRPr="000A01D3" w:rsidRDefault="001940EA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1940EA" w:rsidRPr="000A01D3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1940EA" w:rsidRPr="000A01D3" w:rsidRDefault="001940EA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1940EA" w:rsidRPr="000A01D3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1940EA" w:rsidRPr="000A01D3" w:rsidRDefault="001940EA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1940EA" w:rsidRPr="000A01D3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Términos y definiciones  </w:t>
            </w:r>
          </w:p>
          <w:p w:rsidR="001940EA" w:rsidRPr="000A01D3" w:rsidRDefault="001940EA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1940EA" w:rsidRPr="000A01D3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Herramientas                                             </w:t>
            </w:r>
          </w:p>
          <w:p w:rsidR="001940EA" w:rsidRPr="000A01D3" w:rsidRDefault="001940EA" w:rsidP="00741548">
            <w:pPr>
              <w:pStyle w:val="Prrafodelista"/>
              <w:rPr>
                <w:rFonts w:ascii="Arial" w:hAnsi="Arial" w:cs="Arial"/>
                <w:sz w:val="28"/>
              </w:rPr>
            </w:pPr>
          </w:p>
          <w:p w:rsidR="001940EA" w:rsidRPr="000A01D3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>Descripción del procedimiento</w:t>
            </w:r>
          </w:p>
          <w:p w:rsidR="001940EA" w:rsidRPr="000A01D3" w:rsidRDefault="001940EA" w:rsidP="00741548">
            <w:pPr>
              <w:ind w:left="360"/>
              <w:jc w:val="both"/>
              <w:rPr>
                <w:rFonts w:ascii="Arial" w:hAnsi="Arial" w:cs="Arial"/>
              </w:rPr>
            </w:pPr>
          </w:p>
          <w:p w:rsidR="001940EA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Registros  </w:t>
            </w:r>
          </w:p>
          <w:p w:rsidR="001940EA" w:rsidRDefault="001940EA" w:rsidP="00741548">
            <w:pPr>
              <w:ind w:left="928"/>
              <w:jc w:val="both"/>
              <w:rPr>
                <w:rFonts w:ascii="Arial" w:hAnsi="Arial" w:cs="Arial"/>
              </w:rPr>
            </w:pPr>
            <w:r w:rsidRPr="000A01D3">
              <w:rPr>
                <w:rFonts w:ascii="Arial" w:hAnsi="Arial" w:cs="Arial"/>
              </w:rPr>
              <w:t xml:space="preserve"> </w:t>
            </w:r>
          </w:p>
          <w:p w:rsidR="001940EA" w:rsidRPr="000A01D3" w:rsidRDefault="001940EA" w:rsidP="001940E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1940EA" w:rsidRPr="009E0978" w:rsidRDefault="001940EA" w:rsidP="00741548">
            <w:pPr>
              <w:rPr>
                <w:rFonts w:ascii="Arial" w:hAnsi="Arial" w:cs="Arial"/>
                <w:color w:val="FF0000"/>
              </w:rPr>
            </w:pPr>
          </w:p>
          <w:p w:rsidR="001940EA" w:rsidRPr="009E0978" w:rsidRDefault="001940EA" w:rsidP="00741548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1940EA" w:rsidRDefault="001940EA" w:rsidP="001940EA">
      <w:pPr>
        <w:ind w:firstLine="708"/>
        <w:jc w:val="center"/>
        <w:rPr>
          <w:rFonts w:ascii="Arial" w:hAnsi="Arial" w:cs="Arial"/>
          <w:b/>
          <w:sz w:val="32"/>
        </w:rPr>
      </w:pPr>
    </w:p>
    <w:p w:rsidR="001940EA" w:rsidRDefault="001940EA" w:rsidP="001940EA">
      <w:pPr>
        <w:ind w:firstLine="708"/>
        <w:jc w:val="center"/>
        <w:rPr>
          <w:rFonts w:ascii="Arial" w:hAnsi="Arial" w:cs="Arial"/>
          <w:b/>
          <w:sz w:val="32"/>
        </w:rPr>
      </w:pPr>
    </w:p>
    <w:p w:rsidR="001940EA" w:rsidRDefault="001940EA" w:rsidP="001940EA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ED7893">
        <w:rPr>
          <w:rFonts w:ascii="Arial" w:hAnsi="Arial" w:cs="Arial"/>
          <w:b/>
          <w:bCs/>
        </w:rPr>
        <w:t>Objetivo</w:t>
      </w:r>
      <w:r>
        <w:rPr>
          <w:rFonts w:ascii="Arial" w:hAnsi="Arial" w:cs="Arial"/>
          <w:b/>
          <w:bCs/>
        </w:rPr>
        <w:t>s</w:t>
      </w:r>
    </w:p>
    <w:p w:rsidR="001940EA" w:rsidRPr="001940EA" w:rsidRDefault="001940EA" w:rsidP="001940EA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940EA">
        <w:rPr>
          <w:rFonts w:ascii="Arial" w:hAnsi="Arial" w:cs="Arial"/>
          <w:lang w:val="es-ES"/>
        </w:rPr>
        <w:lastRenderedPageBreak/>
        <w:t>Proporcionar la orientación para realizar los trámites ante Profesiones para efectos de titulación de los docentes-estudiantes.</w:t>
      </w:r>
    </w:p>
    <w:p w:rsidR="001940EA" w:rsidRPr="001940EA" w:rsidRDefault="001940EA" w:rsidP="001940EA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940EA">
        <w:rPr>
          <w:rFonts w:ascii="Arial" w:hAnsi="Arial" w:cs="Arial"/>
          <w:lang w:val="es-ES"/>
        </w:rPr>
        <w:t>Realizar la gestión del canje de la carta de liberación del Servicio Social como documento importante para los trámites administrativos de titulación.</w:t>
      </w:r>
    </w:p>
    <w:p w:rsidR="001940EA" w:rsidRDefault="001940EA" w:rsidP="001940EA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1940EA" w:rsidRPr="002A4067" w:rsidRDefault="001940EA" w:rsidP="001940EA">
      <w:pPr>
        <w:pStyle w:val="Prrafodelista"/>
        <w:ind w:left="11" w:right="-232"/>
        <w:jc w:val="both"/>
        <w:rPr>
          <w:rFonts w:ascii="Arial" w:hAnsi="Arial" w:cs="Arial"/>
          <w:lang w:val="es-ES"/>
        </w:rPr>
      </w:pPr>
    </w:p>
    <w:p w:rsidR="001940EA" w:rsidRDefault="001940EA" w:rsidP="001940EA">
      <w:pPr>
        <w:pStyle w:val="Prrafodelista"/>
        <w:ind w:left="-709" w:right="-232"/>
        <w:jc w:val="both"/>
        <w:rPr>
          <w:rFonts w:ascii="Arial" w:hAnsi="Arial" w:cs="Arial"/>
          <w:bCs/>
        </w:rPr>
      </w:pPr>
      <w:r w:rsidRPr="002A4067">
        <w:rPr>
          <w:rFonts w:ascii="Arial" w:hAnsi="Arial" w:cs="Arial"/>
          <w:b/>
        </w:rPr>
        <w:t>2.  An</w:t>
      </w:r>
      <w:r>
        <w:rPr>
          <w:rFonts w:ascii="Arial" w:hAnsi="Arial" w:cs="Arial"/>
          <w:b/>
        </w:rPr>
        <w:t xml:space="preserve">álisis de riesgos y oportunidades de mejora </w:t>
      </w:r>
      <w:r>
        <w:rPr>
          <w:rFonts w:ascii="Arial" w:hAnsi="Arial" w:cs="Arial"/>
          <w:bCs/>
        </w:rPr>
        <w:t>(Ver apéndice 1 de este documento).</w:t>
      </w:r>
    </w:p>
    <w:p w:rsidR="001940EA" w:rsidRPr="00113CF5" w:rsidRDefault="001940EA" w:rsidP="001940EA">
      <w:pPr>
        <w:ind w:firstLine="708"/>
        <w:jc w:val="center"/>
        <w:rPr>
          <w:rFonts w:ascii="Arial" w:hAnsi="Arial" w:cs="Arial"/>
          <w:b/>
          <w:sz w:val="32"/>
        </w:rPr>
      </w:pPr>
    </w:p>
    <w:p w:rsidR="00911C0C" w:rsidRDefault="00911C0C" w:rsidP="00911C0C">
      <w:pPr>
        <w:ind w:firstLine="708"/>
        <w:jc w:val="center"/>
        <w:rPr>
          <w:sz w:val="24"/>
          <w:szCs w:val="72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80364</wp:posOffset>
            </wp:positionV>
            <wp:extent cx="5262307" cy="3987209"/>
            <wp:effectExtent l="190500" t="190500" r="186055" b="1847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6" t="20884" r="24964" b="12745"/>
                    <a:stretch/>
                  </pic:blipFill>
                  <pic:spPr bwMode="auto">
                    <a:xfrm>
                      <a:off x="0" y="0"/>
                      <a:ext cx="5262307" cy="39872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911C0C" w:rsidRPr="00911C0C" w:rsidRDefault="00911C0C" w:rsidP="00911C0C">
      <w:pPr>
        <w:rPr>
          <w:sz w:val="24"/>
          <w:szCs w:val="72"/>
        </w:rPr>
      </w:pPr>
    </w:p>
    <w:p w:rsidR="001940EA" w:rsidRDefault="00911C0C" w:rsidP="00911C0C">
      <w:pPr>
        <w:ind w:left="-567"/>
        <w:rPr>
          <w:rFonts w:ascii="Arial" w:hAnsi="Arial" w:cs="Arial"/>
          <w:b/>
          <w:sz w:val="24"/>
          <w:szCs w:val="72"/>
        </w:rPr>
      </w:pPr>
      <w:r w:rsidRPr="00911C0C">
        <w:rPr>
          <w:rFonts w:ascii="Arial" w:hAnsi="Arial" w:cs="Arial"/>
          <w:b/>
          <w:sz w:val="24"/>
          <w:szCs w:val="72"/>
        </w:rPr>
        <w:t>3. Alcance</w:t>
      </w:r>
    </w:p>
    <w:p w:rsidR="003F7CF3" w:rsidRPr="00D25DE0" w:rsidRDefault="003F7CF3" w:rsidP="003F7CF3">
      <w:pPr>
        <w:pStyle w:val="Ttulo1"/>
        <w:ind w:left="-709"/>
        <w:jc w:val="left"/>
        <w:rPr>
          <w:szCs w:val="22"/>
        </w:rPr>
      </w:pPr>
      <w:r>
        <w:rPr>
          <w:sz w:val="24"/>
          <w:szCs w:val="22"/>
        </w:rPr>
        <w:t xml:space="preserve"> 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lang w:val="es-ES"/>
        </w:rPr>
        <w:t>Este procedimiento es aplicable a</w:t>
      </w:r>
      <w:r>
        <w:rPr>
          <w:rFonts w:ascii="Arial" w:hAnsi="Arial" w:cs="Arial"/>
          <w:lang w:val="es-ES"/>
        </w:rPr>
        <w:t>l sector de docentes-estudiantes que concluyeron licenciatura o maestría</w:t>
      </w:r>
      <w:r w:rsidRPr="00D25D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  <w:r w:rsidRPr="00D25DE0">
        <w:rPr>
          <w:rFonts w:ascii="Arial" w:hAnsi="Arial" w:cs="Arial"/>
          <w:lang w:val="es-ES"/>
        </w:rPr>
        <w:t xml:space="preserve"> de la Unidad UPN 099,</w:t>
      </w:r>
      <w:r>
        <w:rPr>
          <w:rFonts w:ascii="Arial" w:hAnsi="Arial" w:cs="Arial"/>
          <w:lang w:val="es-ES"/>
        </w:rPr>
        <w:t xml:space="preserve"> CDMX Poniente involucrado</w:t>
      </w:r>
      <w:r w:rsidRPr="00D25DE0">
        <w:rPr>
          <w:rFonts w:ascii="Arial" w:hAnsi="Arial" w:cs="Arial"/>
          <w:lang w:val="es-ES"/>
        </w:rPr>
        <w:t xml:space="preserve">s </w:t>
      </w:r>
      <w:r>
        <w:rPr>
          <w:rFonts w:ascii="Arial" w:hAnsi="Arial" w:cs="Arial"/>
          <w:lang w:val="es-ES"/>
        </w:rPr>
        <w:t xml:space="preserve"> en el proceso administrativo de la titulación y liberación del servicio </w:t>
      </w:r>
      <w:proofErr w:type="spellStart"/>
      <w:r>
        <w:rPr>
          <w:rFonts w:ascii="Arial" w:hAnsi="Arial" w:cs="Arial"/>
          <w:lang w:val="es-ES"/>
        </w:rPr>
        <w:t>sosial</w:t>
      </w:r>
      <w:proofErr w:type="spellEnd"/>
      <w:r>
        <w:rPr>
          <w:rFonts w:ascii="Arial" w:hAnsi="Arial" w:cs="Arial"/>
          <w:lang w:val="es-ES"/>
        </w:rPr>
        <w:t>.</w:t>
      </w:r>
      <w:r w:rsidRPr="00D25D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  </w:t>
      </w:r>
    </w:p>
    <w:p w:rsidR="003F7CF3" w:rsidRPr="00452499" w:rsidRDefault="003F7CF3" w:rsidP="003F7CF3">
      <w:pPr>
        <w:pStyle w:val="Sangra3detindependiente"/>
        <w:ind w:left="0"/>
        <w:rPr>
          <w:color w:val="FF0000"/>
          <w:szCs w:val="22"/>
        </w:rPr>
      </w:pPr>
    </w:p>
    <w:p w:rsidR="003F7CF3" w:rsidRPr="008A3110" w:rsidRDefault="003F7CF3" w:rsidP="003F7CF3">
      <w:pPr>
        <w:pStyle w:val="Ttulo1"/>
        <w:ind w:left="-709"/>
        <w:jc w:val="left"/>
        <w:rPr>
          <w:b w:val="0"/>
          <w:bCs w:val="0"/>
          <w:sz w:val="24"/>
          <w:szCs w:val="22"/>
        </w:rPr>
      </w:pPr>
      <w:bookmarkStart w:id="1" w:name="_Toc315882459"/>
      <w:r>
        <w:rPr>
          <w:sz w:val="24"/>
          <w:szCs w:val="22"/>
        </w:rPr>
        <w:lastRenderedPageBreak/>
        <w:t>4</w:t>
      </w:r>
      <w:r w:rsidRPr="008A3110">
        <w:rPr>
          <w:sz w:val="24"/>
          <w:szCs w:val="22"/>
        </w:rPr>
        <w:t>. Fundamento Normativo y Técnico:</w:t>
      </w:r>
      <w:bookmarkEnd w:id="1"/>
    </w:p>
    <w:p w:rsidR="003F7CF3" w:rsidRPr="00D25DE0" w:rsidRDefault="003F7CF3" w:rsidP="003F7CF3">
      <w:pPr>
        <w:pStyle w:val="Sangra3detindependiente"/>
        <w:ind w:left="0" w:hanging="709"/>
        <w:rPr>
          <w:szCs w:val="22"/>
        </w:rPr>
      </w:pPr>
    </w:p>
    <w:p w:rsidR="003F7CF3" w:rsidRPr="00D25DE0" w:rsidRDefault="004151CA" w:rsidP="003F7CF3">
      <w:pPr>
        <w:pStyle w:val="Sangra3detindependiente"/>
        <w:ind w:left="0" w:hanging="709"/>
        <w:rPr>
          <w:szCs w:val="22"/>
        </w:rPr>
      </w:pPr>
      <w:r>
        <w:rPr>
          <w:szCs w:val="22"/>
        </w:rPr>
        <w:t>Requerimiento 8.6., 8.7.,</w:t>
      </w:r>
      <w:r w:rsidR="003F7CF3" w:rsidRPr="00D25DE0">
        <w:rPr>
          <w:szCs w:val="22"/>
        </w:rPr>
        <w:t xml:space="preserve"> de la Norma ISO 9001:2008. </w:t>
      </w:r>
    </w:p>
    <w:p w:rsidR="003F7CF3" w:rsidRPr="00452499" w:rsidRDefault="003F7CF3" w:rsidP="003F7CF3">
      <w:pPr>
        <w:pStyle w:val="Sangra3detindependiente"/>
        <w:ind w:left="0" w:right="-340" w:hanging="709"/>
        <w:rPr>
          <w:color w:val="FF0000"/>
          <w:szCs w:val="22"/>
        </w:rPr>
      </w:pPr>
    </w:p>
    <w:p w:rsidR="003F7CF3" w:rsidRPr="008A3110" w:rsidRDefault="003F7CF3" w:rsidP="003F7CF3">
      <w:pPr>
        <w:pStyle w:val="Ttulo1"/>
        <w:ind w:left="-709"/>
        <w:jc w:val="left"/>
        <w:rPr>
          <w:b w:val="0"/>
          <w:bCs w:val="0"/>
          <w:sz w:val="24"/>
        </w:rPr>
      </w:pPr>
      <w:bookmarkStart w:id="2" w:name="_Toc315882460"/>
      <w:r>
        <w:rPr>
          <w:sz w:val="24"/>
        </w:rPr>
        <w:t>5</w:t>
      </w:r>
      <w:r w:rsidRPr="008A3110">
        <w:rPr>
          <w:sz w:val="24"/>
        </w:rPr>
        <w:t>. Términos y definiciones:</w:t>
      </w:r>
      <w:bookmarkEnd w:id="2"/>
    </w:p>
    <w:p w:rsidR="003F7CF3" w:rsidRPr="00D25DE0" w:rsidRDefault="003F7CF3" w:rsidP="003F7CF3">
      <w:pPr>
        <w:ind w:right="-340"/>
        <w:jc w:val="both"/>
        <w:rPr>
          <w:rFonts w:ascii="Arial" w:hAnsi="Arial" w:cs="Arial"/>
          <w:lang w:val="es-ES"/>
        </w:rPr>
      </w:pP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Acción correctiva:</w:t>
      </w:r>
      <w:r w:rsidRPr="00D25DE0">
        <w:rPr>
          <w:rFonts w:ascii="Arial" w:hAnsi="Arial" w:cs="Arial"/>
          <w:lang w:val="es-ES"/>
        </w:rPr>
        <w:t xml:space="preserve"> Acción tomada para eliminar la causa de una no conformidad detectada u otra  no deseable.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Acción Preventiva:</w:t>
      </w:r>
      <w:r w:rsidRPr="00D25DE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Concesión:</w:t>
      </w:r>
      <w:r w:rsidRPr="00D25DE0">
        <w:rPr>
          <w:rFonts w:ascii="Arial" w:hAnsi="Arial" w:cs="Arial"/>
          <w:lang w:val="es-ES"/>
        </w:rPr>
        <w:t xml:space="preserve"> Autorización para utilizar o liberar un producto que no es conforme con los requisitos especificados. 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Conformidad:</w:t>
      </w:r>
      <w:r w:rsidRPr="00D25DE0">
        <w:rPr>
          <w:rFonts w:ascii="Arial" w:hAnsi="Arial" w:cs="Arial"/>
          <w:lang w:val="es-ES"/>
        </w:rPr>
        <w:t xml:space="preserve"> Cumplimiento de un requisito.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Corrección:</w:t>
      </w:r>
      <w:r w:rsidRPr="00D25DE0">
        <w:rPr>
          <w:rFonts w:ascii="Arial" w:hAnsi="Arial" w:cs="Arial"/>
          <w:lang w:val="es-ES"/>
        </w:rPr>
        <w:t xml:space="preserve"> Acción tomada para eliminar una no conformidad.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Defecto:</w:t>
      </w:r>
      <w:r w:rsidRPr="00D25DE0">
        <w:rPr>
          <w:rFonts w:ascii="Arial" w:hAnsi="Arial" w:cs="Arial"/>
          <w:lang w:val="es-ES"/>
        </w:rPr>
        <w:t xml:space="preserve"> Incumplimiento de un requisito asociado a un uso previsto o especificado.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No conformidad:</w:t>
      </w:r>
      <w:r w:rsidRPr="00D25DE0">
        <w:rPr>
          <w:rFonts w:ascii="Arial" w:hAnsi="Arial" w:cs="Arial"/>
          <w:lang w:val="es-ES"/>
        </w:rPr>
        <w:t xml:space="preserve"> Incumplimiento de un requisito. 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Proceso:</w:t>
      </w:r>
      <w:r w:rsidRPr="00D25DE0">
        <w:rPr>
          <w:rFonts w:ascii="Arial" w:hAnsi="Arial" w:cs="Arial"/>
          <w:lang w:val="es-ES"/>
        </w:rPr>
        <w:t xml:space="preserve"> Conjunto de actividades mutuamente relacionadas o que interactúan, las cuales transforman elementos de entradas en resultados. 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Producto</w:t>
      </w:r>
      <w:r>
        <w:rPr>
          <w:rFonts w:ascii="Arial" w:hAnsi="Arial" w:cs="Arial"/>
          <w:b/>
          <w:lang w:val="es-ES"/>
        </w:rPr>
        <w:t xml:space="preserve"> o Servicio</w:t>
      </w:r>
      <w:r w:rsidRPr="00D25DE0">
        <w:rPr>
          <w:rFonts w:ascii="Arial" w:hAnsi="Arial" w:cs="Arial"/>
          <w:b/>
          <w:lang w:val="es-ES"/>
        </w:rPr>
        <w:t>:</w:t>
      </w:r>
      <w:r w:rsidRPr="00D25DE0">
        <w:rPr>
          <w:rFonts w:ascii="Arial" w:hAnsi="Arial" w:cs="Arial"/>
          <w:lang w:val="es-ES"/>
        </w:rPr>
        <w:t xml:space="preserve"> Resultado de un proceso.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Producto o Servicio No Conforme:</w:t>
      </w:r>
      <w:r w:rsidRPr="00D25DE0">
        <w:rPr>
          <w:rFonts w:ascii="Arial" w:hAnsi="Arial" w:cs="Arial"/>
          <w:lang w:val="es-ES"/>
        </w:rPr>
        <w:t xml:space="preserve"> Aquel producto</w:t>
      </w:r>
      <w:r>
        <w:rPr>
          <w:rFonts w:ascii="Arial" w:hAnsi="Arial" w:cs="Arial"/>
          <w:lang w:val="es-ES"/>
        </w:rPr>
        <w:t xml:space="preserve"> o servicio</w:t>
      </w:r>
      <w:r w:rsidRPr="00D25DE0">
        <w:rPr>
          <w:rFonts w:ascii="Arial" w:hAnsi="Arial" w:cs="Arial"/>
          <w:lang w:val="es-ES"/>
        </w:rPr>
        <w:t xml:space="preserve"> que no cumple con los requisitos especificados.</w:t>
      </w:r>
    </w:p>
    <w:p w:rsidR="003F7CF3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 w:rsidRPr="00D25DE0">
        <w:rPr>
          <w:rFonts w:ascii="Arial" w:hAnsi="Arial" w:cs="Arial"/>
          <w:b/>
          <w:lang w:val="es-ES"/>
        </w:rPr>
        <w:t>Requisito:</w:t>
      </w:r>
      <w:r w:rsidRPr="00D25DE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3F7CF3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Usabilidad:</w:t>
      </w:r>
      <w:r>
        <w:rPr>
          <w:rFonts w:ascii="Arial" w:hAnsi="Arial" w:cs="Arial"/>
          <w:lang w:val="es-ES"/>
        </w:rPr>
        <w:t xml:space="preserve"> medida en que un producto, servicio, ambiente o facilidad puede ser utilizado por usuarios específicos para lograr objetivos específicos con eficacia, eficiencia y satisfacción en un contexto específico de uso.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Verificación:</w:t>
      </w:r>
      <w:r>
        <w:rPr>
          <w:rFonts w:ascii="Arial" w:hAnsi="Arial" w:cs="Arial"/>
          <w:lang w:val="es-ES"/>
        </w:rPr>
        <w:t xml:space="preserve"> confirmación mediante la aportación de evidencia objetiva, de que se ha cumplido los requisitos especificados.</w:t>
      </w:r>
    </w:p>
    <w:p w:rsidR="003F7CF3" w:rsidRPr="00D25DE0" w:rsidRDefault="003F7CF3" w:rsidP="003F7CF3">
      <w:pPr>
        <w:ind w:left="-709" w:right="-232"/>
        <w:jc w:val="both"/>
        <w:rPr>
          <w:rFonts w:ascii="Arial" w:hAnsi="Arial" w:cs="Arial"/>
          <w:b/>
          <w:lang w:val="es-ES"/>
        </w:rPr>
      </w:pPr>
    </w:p>
    <w:p w:rsidR="003F7CF3" w:rsidRPr="00D25DE0" w:rsidRDefault="003F7CF3" w:rsidP="003F7CF3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bookmarkStart w:id="3" w:name="_Toc315882461"/>
      <w:r>
        <w:rPr>
          <w:sz w:val="22"/>
          <w:szCs w:val="22"/>
        </w:rPr>
        <w:t>6</w:t>
      </w:r>
      <w:r w:rsidRPr="00D25DE0">
        <w:rPr>
          <w:sz w:val="22"/>
          <w:szCs w:val="22"/>
        </w:rPr>
        <w:t>. Herramientas:</w:t>
      </w:r>
      <w:bookmarkEnd w:id="3"/>
    </w:p>
    <w:p w:rsidR="003F7CF3" w:rsidRPr="00D25DE0" w:rsidRDefault="003F7CF3" w:rsidP="003F7CF3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3F7CF3" w:rsidRDefault="003F7CF3" w:rsidP="003F7CF3">
      <w:pPr>
        <w:pStyle w:val="Sangra3detindependiente"/>
        <w:tabs>
          <w:tab w:val="left" w:pos="-709"/>
        </w:tabs>
        <w:ind w:left="-709" w:right="-340"/>
        <w:rPr>
          <w:szCs w:val="22"/>
        </w:rPr>
      </w:pPr>
      <w:r>
        <w:rPr>
          <w:szCs w:val="22"/>
        </w:rPr>
        <w:t>Reuniones con la Alta Direcc</w:t>
      </w:r>
      <w:r w:rsidR="004151CA">
        <w:rPr>
          <w:szCs w:val="22"/>
        </w:rPr>
        <w:t>ión</w:t>
      </w:r>
      <w:proofErr w:type="gramStart"/>
      <w:r w:rsidR="004151CA">
        <w:rPr>
          <w:szCs w:val="22"/>
        </w:rPr>
        <w:t>.</w:t>
      </w:r>
      <w:r>
        <w:rPr>
          <w:szCs w:val="22"/>
        </w:rPr>
        <w:t>.</w:t>
      </w:r>
      <w:proofErr w:type="gramEnd"/>
    </w:p>
    <w:p w:rsidR="003F7CF3" w:rsidRDefault="003F7CF3" w:rsidP="003F7CF3">
      <w:pPr>
        <w:pStyle w:val="Sangra3detindependiente"/>
        <w:tabs>
          <w:tab w:val="left" w:pos="-709"/>
        </w:tabs>
        <w:ind w:left="-709" w:right="-340"/>
        <w:rPr>
          <w:szCs w:val="22"/>
        </w:rPr>
      </w:pPr>
    </w:p>
    <w:p w:rsidR="003F7CF3" w:rsidRDefault="003F7CF3" w:rsidP="003F7CF3">
      <w:pPr>
        <w:pStyle w:val="Sangra3detindependiente"/>
        <w:tabs>
          <w:tab w:val="left" w:pos="-709"/>
        </w:tabs>
        <w:ind w:left="-709" w:right="-340"/>
        <w:rPr>
          <w:b/>
          <w:sz w:val="24"/>
          <w:szCs w:val="22"/>
        </w:rPr>
      </w:pPr>
      <w:r w:rsidRPr="00CD4598">
        <w:rPr>
          <w:sz w:val="24"/>
          <w:szCs w:val="22"/>
        </w:rPr>
        <w:t xml:space="preserve">7. </w:t>
      </w:r>
      <w:r w:rsidRPr="00CD4598">
        <w:rPr>
          <w:b/>
          <w:sz w:val="24"/>
          <w:szCs w:val="22"/>
        </w:rPr>
        <w:t>Descripción del procedimiento</w:t>
      </w:r>
    </w:p>
    <w:tbl>
      <w:tblPr>
        <w:tblW w:w="9915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7"/>
        <w:gridCol w:w="1843"/>
        <w:gridCol w:w="7535"/>
      </w:tblGrid>
      <w:tr w:rsidR="004151CA" w:rsidTr="004151CA">
        <w:trPr>
          <w:cantSplit/>
          <w:trHeight w:val="85"/>
          <w:tblHeader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741548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lastRenderedPageBreak/>
              <w:t>No.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741548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Área 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741548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Descripción de la Actividad</w:t>
            </w:r>
          </w:p>
        </w:tc>
      </w:tr>
      <w:tr w:rsidR="004151CA" w:rsidTr="004151CA">
        <w:trPr>
          <w:cantSplit/>
          <w:trHeight w:val="640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1CA" w:rsidRDefault="004151CA" w:rsidP="00741548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74154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151CA" w:rsidRDefault="004151CA" w:rsidP="0074154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Sustentante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741548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Recibe dictamen ya sea por Examen de conocimiento o por la elaboración de Tesis, tesina, o Proyecto,  acude a la Coordinación de Titulación y Servicio Social para la orientación respecto a los requisitos a cubrir para la titulación.</w:t>
            </w:r>
          </w:p>
        </w:tc>
      </w:tr>
      <w:tr w:rsidR="004151CA" w:rsidTr="004151CA">
        <w:trPr>
          <w:cantSplit/>
          <w:trHeight w:val="497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1CA" w:rsidRDefault="004151CA" w:rsidP="00741548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Entrega díptico conteniendo la información de los requisitos a cubrir para iniciar el trámite de titulación, explica orienta al sustentante sobre la constancia de no adeudo de Biblioteca, como el último documento a tramitar ya que tiene una vigencia de 10 días, respecto a las fotos, pagos a realizar, en el caso de la modalidad de titulación por trabajo se menciona el número de impresiones a realizar y los 3 volúmenes de la tesis/tesina que se habrán de quedar, así como el número de fotocopias de cada documento, aclarando que el tamaño de las fotocopias son tamaño carta.</w:t>
            </w:r>
          </w:p>
        </w:tc>
      </w:tr>
      <w:tr w:rsidR="004151CA" w:rsidTr="004151CA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1CA" w:rsidRDefault="004151CA" w:rsidP="00741548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1CA" w:rsidRPr="006C1015" w:rsidRDefault="004151CA" w:rsidP="0074154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C1015">
              <w:rPr>
                <w:rFonts w:ascii="Arial" w:hAnsi="Arial" w:cs="Arial"/>
                <w:sz w:val="20"/>
                <w:szCs w:val="20"/>
                <w:lang w:val="es-ES"/>
              </w:rPr>
              <w:t>Sustentante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741548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Integra su expediente tomando en cuenta los requisitos mencionados en el díptico, para su revisión</w:t>
            </w:r>
            <w:r w:rsidR="00971612">
              <w:rPr>
                <w:rFonts w:ascii="Arial" w:hAnsi="Arial" w:cs="Arial"/>
                <w:color w:val="auto"/>
                <w:sz w:val="20"/>
                <w:lang w:val="es-MX" w:eastAsia="en-US"/>
              </w:rPr>
              <w:t>. Canjea la constancia laboral por la Carta de Liberación de Servicio, en la Coordinación de Titulación. No realizan Servicio Social, el alumnado en proceso de titulación debido a que todos son profesores en servicio.</w:t>
            </w:r>
          </w:p>
        </w:tc>
      </w:tr>
      <w:tr w:rsidR="004151CA" w:rsidTr="004151CA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Revisa la documentación verificando que coincida el nombre que está escrito en el acta de nacimiento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con los certificados de estudios de bachillerato y el de UPN.</w:t>
            </w:r>
          </w:p>
          <w:p w:rsidR="00ED6691" w:rsidRDefault="00ED6691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Revisa dictamen de autenticidad del  certificado de estudios de bachillerato.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Ve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>rifica que la documentación esté</w:t>
            </w: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completa y que no falte ninguna copia.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Verifica que el oficio del Servicio Social coincida en el nombre de la carrera con lo que está escrito en el certificado de estudios de UPN.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Verifica que la fecha de expedición del certificado de estudios de bachillerato no invada el período de estudios de la licenciatura.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En el caso de examen de conocimientos verifica que el certificado de estudios de UPN sea de la Licenciatura en Educación, de no ser así, se elaborará el oficio aclaratorio correspondiente.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En el caso de Posgrado verifica que la documentación tenga la constancia del CELEX que acredite el 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>nivel II,</w:t>
            </w: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del idioma inglés.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Revisa que las impresiones de los trabajos en el caso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de la modalidad de titulación por</w:t>
            </w: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proyectos, tesis, o tesinas contengan el dictamen correspondiente.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En el  caso de que  el estudiante haya realizado el examen general de conocimientos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, para acreditar </w:t>
            </w: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la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Licenciatura en Educación, Plan 94</w:t>
            </w: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>(</w:t>
            </w: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LE 94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>)</w:t>
            </w: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 xml:space="preserve"> se elaborará el acta de examen profesional correspondiente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Proporciona  al sustentante la solicitud de profesiones y supervisa su llenado.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Baja de internet los formatos de pago de la Dirección General de Profesiones y los imprime para proporcionarlos al sustentante.</w:t>
            </w:r>
          </w:p>
          <w:p w:rsidR="004151CA" w:rsidRDefault="004151CA" w:rsidP="004151CA">
            <w:pPr>
              <w:pStyle w:val="Body"/>
              <w:numPr>
                <w:ilvl w:val="0"/>
                <w:numId w:val="4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 w:hanging="425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Verifica que los documentos estén completos y que incluyan la constancia de no adeudo expedida por la biblioteca, concertar la cita ,por internet ante la Subdirección de Servicios escolares, la imprime y se la entrega al sustentante</w:t>
            </w:r>
          </w:p>
        </w:tc>
      </w:tr>
      <w:tr w:rsidR="004151CA" w:rsidTr="00A74A5E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Pr="00ED6691" w:rsidRDefault="004151CA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/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Verifica que los documentos estén completos y que incluyan la constancia de no adeudo expedida por la biblioteca, concierta la cita ,por internet ante la Subdirección de Servicios escolares, la imprime y se la entrega al sustentante</w:t>
            </w:r>
            <w:r w:rsidR="00ED6691">
              <w:rPr>
                <w:rFonts w:ascii="Arial" w:hAnsi="Arial" w:cs="Arial"/>
                <w:color w:val="auto"/>
                <w:sz w:val="20"/>
                <w:lang w:val="es-MX" w:eastAsia="en-US"/>
              </w:rPr>
              <w:t>/</w:t>
            </w:r>
          </w:p>
          <w:p w:rsidR="00ED6691" w:rsidRDefault="00ED6691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27"/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</w:p>
        </w:tc>
      </w:tr>
      <w:tr w:rsidR="004151CA" w:rsidTr="004151CA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Sustentante</w:t>
            </w:r>
          </w:p>
          <w:p w:rsidR="004151CA" w:rsidRDefault="004151CA" w:rsidP="004151CA">
            <w:pPr>
              <w:jc w:val="center"/>
              <w:rPr>
                <w:lang w:val="es-ES"/>
              </w:rPr>
            </w:pP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Recibe el dictamen de autenticidad, la cita para la entrega de su expediente de titulación y conforme a la fecha de la cita programada entregará su e</w:t>
            </w:r>
            <w:r w:rsidR="00ED6691"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xpediente a la Subdirección de Servicios Escolares de la Unidad Central de Ajusco</w:t>
            </w:r>
          </w:p>
        </w:tc>
      </w:tr>
      <w:tr w:rsidR="004151CA" w:rsidTr="004151CA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6691" w:rsidRPr="00267FDF" w:rsidRDefault="004151CA" w:rsidP="00ED669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Subdirección de Servicios Escolares</w:t>
            </w:r>
            <w:r w:rsidR="00ED669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D6691">
              <w:rPr>
                <w:rFonts w:ascii="Arial" w:hAnsi="Arial" w:cs="Arial"/>
                <w:sz w:val="20"/>
                <w:lang w:val="es-ES_tradnl"/>
              </w:rPr>
              <w:t>de la Unidad Central de Ajusco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hanging="818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Recibe el expediente</w:t>
            </w:r>
          </w:p>
          <w:p w:rsidR="004151CA" w:rsidRPr="00267FDF" w:rsidRDefault="004151CA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hanging="818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Elabora oficio de conformidad y entrega al sustentante</w:t>
            </w:r>
          </w:p>
        </w:tc>
      </w:tr>
      <w:tr w:rsidR="004151CA" w:rsidTr="004151CA">
        <w:trPr>
          <w:cantSplit/>
          <w:trHeight w:val="625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Pr="00267FDF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Subdirección de Servicios Escolares</w:t>
            </w:r>
            <w:r w:rsidR="00ED669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D6691">
              <w:rPr>
                <w:rFonts w:ascii="Arial" w:hAnsi="Arial" w:cs="Arial"/>
                <w:sz w:val="20"/>
                <w:lang w:val="es-ES_tradnl"/>
              </w:rPr>
              <w:t>de la Unidad Central de Ajusco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1CA" w:rsidRDefault="004151CA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hanging="818"/>
              <w:jc w:val="both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Valida y verifica la información</w:t>
            </w:r>
          </w:p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</w:p>
        </w:tc>
      </w:tr>
      <w:tr w:rsidR="004151CA" w:rsidTr="004151CA">
        <w:trPr>
          <w:cantSplit/>
          <w:trHeight w:val="625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Subdirección de Servicios Escolares</w:t>
            </w:r>
            <w:r w:rsidR="00ED669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D6691">
              <w:rPr>
                <w:rFonts w:ascii="Arial" w:hAnsi="Arial" w:cs="Arial"/>
                <w:sz w:val="20"/>
                <w:lang w:val="es-ES_tradnl"/>
              </w:rPr>
              <w:t>de la Unidad Central de Ajusco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Elabora oficio de conformidad y entrega al sustentante</w:t>
            </w:r>
          </w:p>
        </w:tc>
      </w:tr>
      <w:tr w:rsidR="004151CA" w:rsidTr="004151CA">
        <w:trPr>
          <w:cantSplit/>
          <w:trHeight w:val="330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Sustentante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Recibe oficio de conformidad  y lo entrega a la Coordinación de Titulación</w:t>
            </w:r>
          </w:p>
        </w:tc>
      </w:tr>
      <w:tr w:rsidR="004151CA" w:rsidTr="009D64F7">
        <w:trPr>
          <w:cantSplit/>
          <w:trHeight w:val="635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Pr="00267FDF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MX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MX" w:eastAsia="en-US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ED6691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Recibe oficio de conformidad, elabora</w:t>
            </w:r>
            <w:r w:rsidR="00ED6691"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 formato de</w:t>
            </w: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 asignación del jurado</w:t>
            </w:r>
            <w:r w:rsidR="00ED6691"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, lo turna  la Alta Dirección para que se designe sinodales </w:t>
            </w: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 y la fecha de examen </w:t>
            </w:r>
          </w:p>
        </w:tc>
      </w:tr>
      <w:tr w:rsidR="004151CA" w:rsidTr="004151CA">
        <w:trPr>
          <w:cantSplit/>
          <w:trHeight w:val="280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ED6691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Alta </w:t>
            </w:r>
            <w:r w:rsidR="004151CA">
              <w:rPr>
                <w:rFonts w:ascii="Arial" w:hAnsi="Arial" w:cs="Arial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Recibe los trabajos recepcionales</w:t>
            </w:r>
          </w:p>
        </w:tc>
      </w:tr>
      <w:tr w:rsidR="004151CA" w:rsidTr="004151CA">
        <w:trPr>
          <w:cantSplit/>
          <w:trHeight w:val="625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6691" w:rsidRDefault="00ED6691" w:rsidP="00ED669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Alta </w:t>
            </w:r>
            <w:r w:rsidR="004151CA">
              <w:rPr>
                <w:rFonts w:ascii="Arial" w:hAnsi="Arial" w:cs="Arial"/>
                <w:sz w:val="20"/>
                <w:szCs w:val="20"/>
                <w:lang w:val="es-ES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Calendariza y otorga la fecha de examen</w:t>
            </w:r>
          </w:p>
          <w:p w:rsidR="004151CA" w:rsidRDefault="004151CA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Designa al jurado</w:t>
            </w:r>
          </w:p>
          <w:p w:rsidR="004151CA" w:rsidRDefault="004151CA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Distribuye los trabajos recepcionales al jurado </w:t>
            </w:r>
          </w:p>
          <w:p w:rsidR="004151CA" w:rsidRDefault="004151CA" w:rsidP="004151CA">
            <w:pPr>
              <w:pStyle w:val="Body"/>
              <w:numPr>
                <w:ilvl w:val="0"/>
                <w:numId w:val="5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Entrega hoja c</w:t>
            </w:r>
            <w:r w:rsidR="00971612"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on el jurado y fecha designada </w:t>
            </w:r>
          </w:p>
        </w:tc>
      </w:tr>
      <w:tr w:rsidR="004151CA" w:rsidTr="00E55DAB">
        <w:trPr>
          <w:cantSplit/>
          <w:trHeight w:val="625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Recibe hoja de designación del jurado y notifica </w:t>
            </w:r>
            <w:proofErr w:type="gramStart"/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al</w:t>
            </w:r>
            <w:proofErr w:type="gramEnd"/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 sustentante fecha y hora de examen e informa sobre los requerimientos para el examen. </w:t>
            </w:r>
          </w:p>
        </w:tc>
      </w:tr>
      <w:tr w:rsidR="004151CA" w:rsidTr="004151CA">
        <w:trPr>
          <w:cantSplit/>
          <w:trHeight w:val="429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Sustentante 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Recibe información sobre la fecha y hora del examen y se prepara para su realización.</w:t>
            </w:r>
          </w:p>
        </w:tc>
      </w:tr>
      <w:tr w:rsidR="004151CA" w:rsidTr="00A007DF">
        <w:trPr>
          <w:cantSplit/>
          <w:trHeight w:val="625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" w:eastAsia="en-US"/>
              </w:rPr>
              <w:t xml:space="preserve">Elabora acta de examen profesional, cerciorándose de que el nombre del acta de examen coincida con el del acta de nacimiento y que el nombre de la carrera coincida con el certificado. </w:t>
            </w:r>
          </w:p>
          <w:p w:rsidR="004151CA" w:rsidRPr="004609C1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" w:eastAsia="en-US"/>
              </w:rPr>
              <w:t xml:space="preserve">Turna el acta a </w:t>
            </w:r>
            <w:r w:rsidR="00971612">
              <w:rPr>
                <w:rFonts w:ascii="Arial" w:hAnsi="Arial" w:cs="Arial"/>
                <w:color w:val="auto"/>
                <w:sz w:val="20"/>
                <w:lang w:val="es-ES" w:eastAsia="en-US"/>
              </w:rPr>
              <w:t>sinodales</w:t>
            </w:r>
          </w:p>
        </w:tc>
      </w:tr>
      <w:tr w:rsidR="004151CA" w:rsidTr="004151CA">
        <w:trPr>
          <w:cantSplit/>
          <w:trHeight w:val="455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Jurado 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Recibe expediente del sustentante y acta de examen profesional. </w:t>
            </w:r>
          </w:p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Prepara el examen profesional. </w:t>
            </w:r>
          </w:p>
        </w:tc>
      </w:tr>
      <w:tr w:rsidR="004151CA" w:rsidTr="004151CA">
        <w:trPr>
          <w:cantSplit/>
          <w:trHeight w:val="196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Sustentante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 Presenta el examen </w:t>
            </w:r>
          </w:p>
        </w:tc>
      </w:tr>
      <w:tr w:rsidR="004151CA" w:rsidTr="004151CA">
        <w:trPr>
          <w:cantSplit/>
          <w:trHeight w:val="173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Jurado 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Emite dictamen, firma el acta  y remite el expediente a</w:t>
            </w:r>
            <w:r w:rsidR="00971612"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: </w:t>
            </w:r>
          </w:p>
        </w:tc>
      </w:tr>
      <w:tr w:rsidR="004151CA" w:rsidTr="00C502CD">
        <w:trPr>
          <w:cantSplit/>
          <w:trHeight w:val="1410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Pr="004609C1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" w:eastAsia="en-US"/>
              </w:rPr>
              <w:t xml:space="preserve">Recibe expediente y acta de examen validada por el jurado  y turna el expediente a </w:t>
            </w:r>
          </w:p>
        </w:tc>
      </w:tr>
      <w:tr w:rsidR="004151CA" w:rsidTr="004151CA">
        <w:trPr>
          <w:cantSplit/>
          <w:trHeight w:val="279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Dirección 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Recibe expediente y acta firmada por el jurado y la </w:t>
            </w:r>
            <w:r w:rsidR="00971612"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rúbrica</w:t>
            </w: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; turna a </w:t>
            </w:r>
          </w:p>
        </w:tc>
      </w:tr>
      <w:tr w:rsidR="004151CA" w:rsidTr="00413E3F">
        <w:trPr>
          <w:cantSplit/>
          <w:trHeight w:val="70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</w:p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Responsable de Gestión para la Titulación y Liberación del Servicio Social y Apoyo Secretarial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Pr="004609C1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" w:eastAsia="en-US"/>
              </w:rPr>
              <w:t xml:space="preserve">Recibe acta firmada y rubricada, entrega a </w:t>
            </w:r>
          </w:p>
        </w:tc>
      </w:tr>
      <w:tr w:rsidR="004151CA" w:rsidTr="004151CA">
        <w:trPr>
          <w:cantSplit/>
          <w:trHeight w:val="206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 xml:space="preserve">Recibe dos originales de acta de examen y entrega a </w:t>
            </w:r>
          </w:p>
        </w:tc>
      </w:tr>
      <w:tr w:rsidR="004151CA" w:rsidTr="00C502CD">
        <w:trPr>
          <w:cantSplit/>
          <w:trHeight w:val="390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 w:eastAsia="en-US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51CA" w:rsidRDefault="00971612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Sustentante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Pr="00F31EF1" w:rsidRDefault="00971612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 w:eastAsia="en-US"/>
              </w:rPr>
            </w:pPr>
            <w:r>
              <w:rPr>
                <w:rFonts w:ascii="Arial" w:hAnsi="Arial" w:cs="Arial"/>
                <w:color w:val="auto"/>
                <w:sz w:val="20"/>
                <w:lang w:val="es-ES" w:eastAsia="en-US"/>
              </w:rPr>
              <w:t>Recibe acta original y dos</w:t>
            </w:r>
            <w:r w:rsidR="004151CA">
              <w:rPr>
                <w:rFonts w:ascii="Arial" w:hAnsi="Arial" w:cs="Arial"/>
                <w:color w:val="auto"/>
                <w:sz w:val="20"/>
                <w:lang w:val="es-ES" w:eastAsia="en-US"/>
              </w:rPr>
              <w:t xml:space="preserve"> copias e inicia el trámite de expedición de título y cédula profesional. </w:t>
            </w:r>
          </w:p>
        </w:tc>
      </w:tr>
      <w:tr w:rsidR="004151CA" w:rsidTr="00C502CD">
        <w:trPr>
          <w:cantSplit/>
          <w:trHeight w:val="130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Fin </w:t>
            </w:r>
          </w:p>
        </w:tc>
        <w:tc>
          <w:tcPr>
            <w:tcW w:w="7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1CA" w:rsidRDefault="004151CA" w:rsidP="004151C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 w:eastAsia="en-US"/>
              </w:rPr>
            </w:pPr>
          </w:p>
        </w:tc>
      </w:tr>
    </w:tbl>
    <w:p w:rsidR="009E55EF" w:rsidRPr="009E55EF" w:rsidRDefault="009E55EF" w:rsidP="009E55EF">
      <w:pPr>
        <w:rPr>
          <w:rFonts w:ascii="Arial" w:hAnsi="Arial" w:cs="Arial"/>
          <w:b/>
          <w:sz w:val="24"/>
        </w:rPr>
      </w:pPr>
      <w:r w:rsidRPr="009E55EF">
        <w:rPr>
          <w:rFonts w:ascii="Arial" w:hAnsi="Arial" w:cs="Arial"/>
          <w:b/>
          <w:sz w:val="24"/>
        </w:rPr>
        <w:t>8. Registros y Documentos</w:t>
      </w:r>
    </w:p>
    <w:p w:rsidR="009E55EF" w:rsidRDefault="009E55EF" w:rsidP="009E55EF">
      <w:pPr>
        <w:rPr>
          <w:rFonts w:ascii="Arial" w:hAnsi="Arial" w:cs="Arial"/>
        </w:rPr>
      </w:pPr>
      <w:r>
        <w:rPr>
          <w:rFonts w:ascii="Arial" w:hAnsi="Arial" w:cs="Arial"/>
        </w:rPr>
        <w:t>Formato programación de Examen Profesional</w:t>
      </w:r>
    </w:p>
    <w:p w:rsidR="009E55EF" w:rsidRDefault="009E55EF" w:rsidP="009E55EF">
      <w:pPr>
        <w:rPr>
          <w:rFonts w:ascii="Arial" w:hAnsi="Arial" w:cs="Arial"/>
        </w:rPr>
      </w:pPr>
      <w:r>
        <w:rPr>
          <w:rFonts w:ascii="Arial" w:hAnsi="Arial" w:cs="Arial"/>
        </w:rPr>
        <w:t>Formato de Acta de Examen Profesional/ de Grado</w:t>
      </w:r>
    </w:p>
    <w:p w:rsidR="009E55EF" w:rsidRDefault="009E55EF" w:rsidP="009E55EF">
      <w:pPr>
        <w:rPr>
          <w:rFonts w:ascii="Arial" w:hAnsi="Arial" w:cs="Arial"/>
        </w:rPr>
      </w:pPr>
      <w:r>
        <w:rPr>
          <w:rFonts w:ascii="Arial" w:hAnsi="Arial" w:cs="Arial"/>
        </w:rPr>
        <w:t>Lineamientos para la Titulación de la UPN</w:t>
      </w:r>
    </w:p>
    <w:p w:rsidR="009E55EF" w:rsidRDefault="009E55EF" w:rsidP="009E55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Actas de exámenes realizados, que se conservan permanentemente </w:t>
      </w:r>
    </w:p>
    <w:p w:rsidR="009E55EF" w:rsidRDefault="009E55EF" w:rsidP="009E55EF">
      <w:pPr>
        <w:rPr>
          <w:rFonts w:ascii="Arial" w:hAnsi="Arial" w:cs="Arial"/>
          <w:b/>
        </w:rPr>
      </w:pPr>
      <w:r>
        <w:rPr>
          <w:rFonts w:ascii="Arial" w:hAnsi="Arial" w:cs="Arial"/>
        </w:rPr>
        <w:t>Libro de Registro de Exámenes Profesionales y de Grado,   se conservan permanentemente.</w:t>
      </w:r>
    </w:p>
    <w:p w:rsidR="009E55EF" w:rsidRDefault="009E55EF" w:rsidP="00AB1934">
      <w:pPr>
        <w:rPr>
          <w:rFonts w:ascii="Arial" w:hAnsi="Arial" w:cs="Arial"/>
          <w:b/>
          <w:sz w:val="24"/>
        </w:rPr>
      </w:pPr>
      <w:r w:rsidRPr="009E55EF">
        <w:rPr>
          <w:rFonts w:ascii="Arial" w:hAnsi="Arial" w:cs="Arial"/>
          <w:b/>
          <w:sz w:val="24"/>
        </w:rPr>
        <w:t>9. Apéndice No.1. Análisis de riesgos y oportunidades de mejora.</w:t>
      </w:r>
    </w:p>
    <w:p w:rsidR="00C502CD" w:rsidRPr="00C502CD" w:rsidRDefault="00C502CD" w:rsidP="00AB1934">
      <w:pPr>
        <w:rPr>
          <w:rFonts w:ascii="Arial" w:hAnsi="Arial" w:cs="Arial"/>
          <w:sz w:val="18"/>
          <w:szCs w:val="72"/>
        </w:rPr>
      </w:pPr>
      <w:r w:rsidRPr="00C502CD">
        <w:rPr>
          <w:rFonts w:ascii="Arial" w:hAnsi="Arial" w:cs="Arial"/>
          <w:b/>
          <w:sz w:val="18"/>
        </w:rPr>
        <w:t xml:space="preserve">Nota. </w:t>
      </w:r>
      <w:r w:rsidRPr="00C502CD">
        <w:rPr>
          <w:rFonts w:ascii="Arial" w:hAnsi="Arial" w:cs="Arial"/>
          <w:sz w:val="18"/>
        </w:rPr>
        <w:t>La Unidad se encuentra en periodo de transición y se modificará el procedimiento para los trámites  para la titulación. El personal está en capacitación y se</w:t>
      </w:r>
      <w:r w:rsidRPr="00C502CD">
        <w:rPr>
          <w:rFonts w:ascii="Arial" w:hAnsi="Arial" w:cs="Arial"/>
          <w:b/>
          <w:sz w:val="18"/>
        </w:rPr>
        <w:t xml:space="preserve">  </w:t>
      </w:r>
      <w:r w:rsidRPr="00C502CD">
        <w:rPr>
          <w:rFonts w:ascii="Arial" w:hAnsi="Arial" w:cs="Arial"/>
          <w:sz w:val="18"/>
        </w:rPr>
        <w:t>instalará un programa computacional para digitalizar y llevar a cabo la recuperación de datos para enviarlos a profesiones, de manera distinta de como se ha llevado a cabo durante toda la vida institucional de la UPN</w:t>
      </w:r>
      <w:r>
        <w:rPr>
          <w:rFonts w:ascii="Arial" w:hAnsi="Arial" w:cs="Arial"/>
          <w:sz w:val="18"/>
        </w:rPr>
        <w:t>.</w:t>
      </w:r>
      <w:r w:rsidR="00CA0558">
        <w:rPr>
          <w:rFonts w:ascii="Arial" w:hAnsi="Arial" w:cs="Arial"/>
          <w:sz w:val="18"/>
        </w:rPr>
        <w:t xml:space="preserve"> </w:t>
      </w:r>
    </w:p>
    <w:sectPr w:rsidR="00C502CD" w:rsidRPr="00C502CD" w:rsidSect="00C502CD">
      <w:headerReference w:type="default" r:id="rId8"/>
      <w:footerReference w:type="default" r:id="rId9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3C" w:rsidRDefault="00AC393C" w:rsidP="00AC393C">
      <w:pPr>
        <w:spacing w:after="0" w:line="240" w:lineRule="auto"/>
      </w:pPr>
      <w:r>
        <w:separator/>
      </w:r>
    </w:p>
  </w:endnote>
  <w:endnote w:type="continuationSeparator" w:id="0">
    <w:p w:rsidR="00AC393C" w:rsidRDefault="00AC393C" w:rsidP="00AC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3C" w:rsidRDefault="00AC393C" w:rsidP="00AC393C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 w:rsidRPr="00723596">
      <w:rPr>
        <w:rFonts w:ascii="Arial" w:hAnsi="Arial" w:cs="Arial"/>
        <w:b/>
        <w:bCs/>
        <w:sz w:val="16"/>
        <w:szCs w:val="16"/>
      </w:rPr>
      <w:t>Verifique en la l</w:t>
    </w:r>
    <w:r>
      <w:rPr>
        <w:rFonts w:ascii="Arial" w:hAnsi="Arial" w:cs="Arial"/>
        <w:b/>
        <w:bCs/>
        <w:sz w:val="16"/>
        <w:szCs w:val="16"/>
      </w:rPr>
      <w:t>ista maestra de documentos que é</w:t>
    </w:r>
    <w:r w:rsidRPr="00723596">
      <w:rPr>
        <w:rFonts w:ascii="Arial" w:hAnsi="Arial" w:cs="Arial"/>
        <w:b/>
        <w:bCs/>
        <w:sz w:val="16"/>
        <w:szCs w:val="16"/>
      </w:rPr>
      <w:t xml:space="preserve">sta sea la </w:t>
    </w:r>
    <w:r>
      <w:rPr>
        <w:rFonts w:ascii="Arial" w:hAnsi="Arial" w:cs="Arial"/>
        <w:b/>
        <w:bCs/>
        <w:sz w:val="16"/>
        <w:szCs w:val="16"/>
      </w:rPr>
      <w:t>revisión</w:t>
    </w:r>
    <w:r w:rsidRPr="00723596">
      <w:rPr>
        <w:rFonts w:ascii="Arial" w:hAnsi="Arial" w:cs="Arial"/>
        <w:b/>
        <w:bCs/>
        <w:sz w:val="16"/>
        <w:szCs w:val="16"/>
      </w:rPr>
      <w:t xml:space="preserve"> actualizada antes de su utilización</w:t>
    </w:r>
  </w:p>
  <w:p w:rsidR="00AC393C" w:rsidRPr="00AC393C" w:rsidRDefault="00AC393C" w:rsidP="00AC39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3C" w:rsidRDefault="00AC393C" w:rsidP="00AC393C">
      <w:pPr>
        <w:spacing w:after="0" w:line="240" w:lineRule="auto"/>
      </w:pPr>
      <w:r>
        <w:separator/>
      </w:r>
    </w:p>
  </w:footnote>
  <w:footnote w:type="continuationSeparator" w:id="0">
    <w:p w:rsidR="00AC393C" w:rsidRDefault="00AC393C" w:rsidP="00AC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AC393C" w:rsidRPr="003A2EF3" w:rsidTr="00741548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553D800" wp14:editId="4C922A80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A2E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1E755AAD" wp14:editId="17246116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C393C" w:rsidRPr="003A2EF3" w:rsidRDefault="00AC393C" w:rsidP="00AC393C">
          <w:pPr>
            <w:rPr>
              <w:rFonts w:ascii="Times New Roman" w:eastAsia="Times New Roman" w:hAnsi="Times New Roman" w:cstheme="minorHAnsi"/>
              <w:sz w:val="18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                  </w:t>
          </w: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>Secretaría de Educación Pública</w:t>
          </w:r>
        </w:p>
        <w:p w:rsidR="00AC393C" w:rsidRPr="003A2EF3" w:rsidRDefault="00AC393C" w:rsidP="00AC393C">
          <w:pPr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="Times New Roman"/>
              <w:sz w:val="18"/>
              <w:szCs w:val="24"/>
              <w:lang w:eastAsia="es-ES"/>
            </w:rPr>
            <w:t xml:space="preserve">      </w:t>
          </w:r>
          <w:r w:rsidRPr="003A2EF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 xml:space="preserve">                    </w:t>
          </w: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>Universidad Pedagógica Nacional</w:t>
          </w:r>
        </w:p>
        <w:p w:rsidR="00AC393C" w:rsidRPr="003A2EF3" w:rsidRDefault="00AC393C" w:rsidP="00AC393C">
          <w:pPr>
            <w:rPr>
              <w:rFonts w:ascii="Times New Roman" w:eastAsia="Times New Roman" w:hAnsi="Times New Roman" w:cstheme="minorHAnsi"/>
              <w:sz w:val="24"/>
              <w:szCs w:val="24"/>
              <w:lang w:eastAsia="es-ES"/>
            </w:rPr>
          </w:pPr>
          <w:r w:rsidRPr="003A2EF3">
            <w:rPr>
              <w:rFonts w:ascii="Times New Roman" w:eastAsia="Times New Roman" w:hAnsi="Times New Roman" w:cstheme="minorHAnsi"/>
              <w:sz w:val="20"/>
              <w:szCs w:val="24"/>
              <w:lang w:eastAsia="es-ES"/>
            </w:rPr>
            <w:t xml:space="preserve">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Gestión para la Titulación</w:t>
          </w: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 </w:t>
          </w:r>
        </w:p>
      </w:tc>
    </w:tr>
    <w:tr w:rsidR="00AC393C" w:rsidRPr="003A2EF3" w:rsidTr="00741548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>Procedimiento</w:t>
          </w:r>
        </w:p>
      </w:tc>
    </w:tr>
    <w:tr w:rsidR="00AC393C" w:rsidRPr="003A2EF3" w:rsidTr="00741548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 xml:space="preserve"> </w:t>
          </w:r>
        </w:p>
      </w:tc>
    </w:tr>
    <w:tr w:rsidR="00AC393C" w:rsidRPr="003A2EF3" w:rsidTr="00741548">
      <w:trPr>
        <w:trHeight w:val="558"/>
      </w:trPr>
      <w:tc>
        <w:tcPr>
          <w:tcW w:w="5182" w:type="dxa"/>
          <w:vMerge w:val="restart"/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Gestión para la Titulación y Liberación del Servicio Social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Páginas Totales </w:t>
          </w:r>
        </w:p>
      </w:tc>
    </w:tr>
    <w:tr w:rsidR="00AC393C" w:rsidRPr="003A2EF3" w:rsidTr="00741548">
      <w:trPr>
        <w:trHeight w:val="149"/>
      </w:trPr>
      <w:tc>
        <w:tcPr>
          <w:tcW w:w="5182" w:type="dxa"/>
          <w:vMerge/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</w:tc>
      <w:tc>
        <w:tcPr>
          <w:tcW w:w="1831" w:type="dxa"/>
          <w:vAlign w:val="center"/>
        </w:tcPr>
        <w:p w:rsidR="00AC393C" w:rsidRPr="003A2EF3" w:rsidRDefault="00AC393C" w:rsidP="00031A91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es-ES"/>
            </w:rPr>
            <w:t>0</w:t>
          </w:r>
          <w:r w:rsidR="00031A91">
            <w:rPr>
              <w:rFonts w:ascii="Arial" w:eastAsia="Times New Roman" w:hAnsi="Arial" w:cs="Arial"/>
              <w:sz w:val="24"/>
              <w:szCs w:val="24"/>
              <w:lang w:eastAsia="es-ES"/>
            </w:rPr>
            <w:t>0</w:t>
          </w:r>
        </w:p>
      </w:tc>
      <w:tc>
        <w:tcPr>
          <w:tcW w:w="2145" w:type="dxa"/>
          <w:gridSpan w:val="2"/>
          <w:vAlign w:val="center"/>
        </w:tcPr>
        <w:p w:rsidR="00AC393C" w:rsidRPr="003A2EF3" w:rsidRDefault="00AC393C" w:rsidP="00AC393C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3A2EF3">
            <w:rPr>
              <w:rFonts w:ascii="Arial" w:eastAsia="Times New Roman" w:hAnsi="Arial" w:cs="Arial"/>
              <w:sz w:val="24"/>
              <w:szCs w:val="24"/>
              <w:lang w:eastAsia="es-ES"/>
            </w:rPr>
            <w:t>25-03-19</w:t>
          </w:r>
        </w:p>
      </w:tc>
      <w:tc>
        <w:tcPr>
          <w:tcW w:w="1195" w:type="dxa"/>
          <w:vAlign w:val="center"/>
        </w:tcPr>
        <w:p w:rsidR="00AC393C" w:rsidRPr="003A2EF3" w:rsidRDefault="00C502CD" w:rsidP="00AC393C">
          <w:pPr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t>9</w:t>
          </w:r>
        </w:p>
      </w:tc>
    </w:tr>
  </w:tbl>
  <w:p w:rsidR="00AC393C" w:rsidRPr="003A2EF3" w:rsidRDefault="00AC393C" w:rsidP="00AC393C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D93"/>
    <w:multiLevelType w:val="hybridMultilevel"/>
    <w:tmpl w:val="AE2C405A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4DF6232"/>
    <w:multiLevelType w:val="hybridMultilevel"/>
    <w:tmpl w:val="A5D6716A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6A2EC0"/>
    <w:multiLevelType w:val="hybridMultilevel"/>
    <w:tmpl w:val="0BD65B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87F52"/>
    <w:multiLevelType w:val="hybridMultilevel"/>
    <w:tmpl w:val="681696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3C"/>
    <w:rsid w:val="00023DD1"/>
    <w:rsid w:val="00031A91"/>
    <w:rsid w:val="001940EA"/>
    <w:rsid w:val="00315E1F"/>
    <w:rsid w:val="003F7CF3"/>
    <w:rsid w:val="004151CA"/>
    <w:rsid w:val="00610E1B"/>
    <w:rsid w:val="00787424"/>
    <w:rsid w:val="00911C0C"/>
    <w:rsid w:val="00971612"/>
    <w:rsid w:val="009E55EF"/>
    <w:rsid w:val="00AB1934"/>
    <w:rsid w:val="00AC393C"/>
    <w:rsid w:val="00C502CD"/>
    <w:rsid w:val="00CA0558"/>
    <w:rsid w:val="00CB3565"/>
    <w:rsid w:val="00D43068"/>
    <w:rsid w:val="00ED01A1"/>
    <w:rsid w:val="00E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0F2E5-EA16-450D-B2E3-2274146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CF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93C"/>
  </w:style>
  <w:style w:type="paragraph" w:styleId="Piedepgina">
    <w:name w:val="footer"/>
    <w:basedOn w:val="Normal"/>
    <w:link w:val="PiedepginaCar"/>
    <w:uiPriority w:val="99"/>
    <w:unhideWhenUsed/>
    <w:rsid w:val="00AC3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93C"/>
  </w:style>
  <w:style w:type="table" w:styleId="Tablaconcuadrcula">
    <w:name w:val="Table Grid"/>
    <w:basedOn w:val="Tablanormal"/>
    <w:uiPriority w:val="59"/>
    <w:rsid w:val="00AC393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40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3F7CF3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3F7CF3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F7CF3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4151C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4151CA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1521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10</cp:revision>
  <cp:lastPrinted>2019-07-30T13:27:00Z</cp:lastPrinted>
  <dcterms:created xsi:type="dcterms:W3CDTF">2019-07-27T18:19:00Z</dcterms:created>
  <dcterms:modified xsi:type="dcterms:W3CDTF">2019-07-30T13:28:00Z</dcterms:modified>
</cp:coreProperties>
</file>